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Hobsons Bay</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Hobsons Bay</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Hobsons Bay</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Altona Meadows, Altona North/Brooklyn, Altona/Seaholme, Newport, Seabrook, Spotswood/South Kingsville, Williamstown/Williamstown North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Hobsons Bay</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1,051</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1,061</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996</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1,061</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996</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1,061</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996</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1,060</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1,061</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991</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Hobsons Bay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 North/Brooklyn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Altona/Seaholme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Seabrook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Spotswood/South 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Williamstown/Williamstown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